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Calibri" w:hAnsi="Calibri" w:cs="Calibri" w:eastAsia="Calibri"/>
          <w:b/>
          <w:color w:val="auto"/>
          <w:spacing w:val="0"/>
          <w:position w:val="0"/>
          <w:sz w:val="28"/>
          <w:shd w:fill="auto" w:val="clear"/>
        </w:rPr>
        <w:t xml:space="preserve">SUBJECT</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ΟΙ ΠΟΛΙΤΕΣ ΤΗΣ ΕΥΡΩΠΑ'Ι'ΚΗΣ ΕΝΩΣΗΣ ΛΕΝΕ ΟΧΙ ΣΤΟ ΨΗΦΙΑΚΟ ΠΡΑΣΙΝΟ ΔΙΑΒΑΤΗΡΙΟ(ΑΙΤΙΟΛΟΓΗΣΗ#1)</w:t>
      </w:r>
    </w:p>
    <w:p>
      <w:pPr>
        <w:spacing w:before="0" w:after="0" w:line="240"/>
        <w:ind w:right="0" w:left="0" w:firstLine="0"/>
        <w:jc w:val="both"/>
        <w:rPr>
          <w:rFonts w:ascii="Arial" w:hAnsi="Arial" w:cs="Arial" w:eastAsia="Arial"/>
          <w:b/>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Αγαπητή/έ Κυριά/ε,</w:t>
      </w: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br/>
      </w:r>
      <w:r>
        <w:rPr>
          <w:rFonts w:ascii="Arial" w:hAnsi="Arial" w:cs="Arial" w:eastAsia="Arial"/>
          <w:color w:val="auto"/>
          <w:spacing w:val="0"/>
          <w:position w:val="0"/>
          <w:sz w:val="28"/>
          <w:shd w:fill="auto" w:val="clear"/>
        </w:rPr>
        <w:t xml:space="preserve">Είμαστε ένα δίκτυο Ευρωπαίων επιστημόνων, δικηγόρων, γιατρών και πολιτών με ποικίλο επαγγελματικό υπόβαθρο που σας γράφει σε απάντηση στην πρόταση, που βρίσκεται τώρα ενώπιον του Κοινοβουλίου, για το </w:t>
      </w:r>
      <w:r>
        <w:rPr>
          <w:rFonts w:ascii="Arial" w:hAnsi="Arial" w:cs="Arial" w:eastAsia="Arial"/>
          <w:b/>
          <w:color w:val="auto"/>
          <w:spacing w:val="0"/>
          <w:position w:val="0"/>
          <w:sz w:val="28"/>
          <w:shd w:fill="auto" w:val="clear"/>
        </w:rPr>
        <w:t xml:space="preserve">Πράσινο Ψηφιακό Πιστοποιητικό</w:t>
      </w:r>
      <w:r>
        <w:rPr>
          <w:rFonts w:ascii="Arial" w:hAnsi="Arial" w:cs="Arial" w:eastAsia="Arial"/>
          <w:color w:val="auto"/>
          <w:spacing w:val="0"/>
          <w:position w:val="0"/>
          <w:sz w:val="28"/>
          <w:shd w:fill="auto" w:val="clear"/>
        </w:rPr>
        <w:t xml:space="preserve">. Ενωμένοι από σημαντικές ανησυχίες σχετικά με τις μακροπρόθεσμες επιπτώσεις αυτού του εργαλείου στις Ευρωπαϊκές αξίες και αρχές, πιστεύουμε ακράδαντα ότι το προτεινόμενο εργαλείο αποτελεί </w:t>
      </w:r>
      <w:r>
        <w:rPr>
          <w:rFonts w:ascii="Arial" w:hAnsi="Arial" w:cs="Arial" w:eastAsia="Arial"/>
          <w:b/>
          <w:color w:val="auto"/>
          <w:spacing w:val="0"/>
          <w:position w:val="0"/>
          <w:sz w:val="28"/>
          <w:shd w:fill="auto" w:val="clear"/>
        </w:rPr>
        <w:t xml:space="preserve">αδικαιολόγητο περιορισμό των θεμελιωδών ελευθεριών </w:t>
      </w:r>
      <w:r>
        <w:rPr>
          <w:rFonts w:ascii="Arial" w:hAnsi="Arial" w:cs="Arial" w:eastAsia="Arial"/>
          <w:color w:val="auto"/>
          <w:spacing w:val="0"/>
          <w:position w:val="0"/>
          <w:sz w:val="28"/>
          <w:shd w:fill="auto" w:val="clear"/>
        </w:rPr>
        <w:t xml:space="preserve">των πολιτών της Ευρωπαϊκής Ένωσης, ενώ δεν αντιμετωπίζει τις υποκείμενες ανησυχίες για την υγεία.</w:t>
      </w: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br/>
      </w:r>
      <w:r>
        <w:rPr>
          <w:rFonts w:ascii="Arial" w:hAnsi="Arial" w:cs="Arial" w:eastAsia="Arial"/>
          <w:color w:val="auto"/>
          <w:spacing w:val="0"/>
          <w:position w:val="0"/>
          <w:sz w:val="28"/>
          <w:shd w:fill="auto" w:val="clear"/>
        </w:rPr>
        <w:t xml:space="preserve">Κατά την ανάλυση της πρότασης, παρατηρήσαμε ότι λείπουν το συνηθισμένο συμπλήρωμα εκτίμησης επιπτώσεων, η ανάλυση κόστους-οφέλους και η δημόσια διαβούλευση. Οι κανόνες  Καλύτερης Νομοθεσίας, υπογραμμίζουν τη σημασία αυτών των διαδικασιών για τη διατήρηση της ισορροπίας δυνάμεων και των δημοκρατικών ελέγχων και ισορροπιών στην Ευρώπη. </w:t>
      </w: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br/>
      </w:r>
      <w:r>
        <w:rPr>
          <w:rFonts w:ascii="Arial" w:hAnsi="Arial" w:cs="Arial" w:eastAsia="Arial"/>
          <w:color w:val="auto"/>
          <w:spacing w:val="0"/>
          <w:position w:val="0"/>
          <w:sz w:val="28"/>
          <w:shd w:fill="auto" w:val="clear"/>
        </w:rPr>
        <w:t xml:space="preserve">Τις επόμενες ημέρες, θα μοιραστούμε μαζί σας ορισμένες νομικές και επιστημονικές πληροφορίες για να σας υποστηρίξουμε στη λήψη τεκμηριωμένης απόφασης σχετικά με την ψηφοφορία. Θα σας επιστήσουμε επίσης την προσοχή σε ορισμένες πρωτοβουλίες πολιτών, ορισμένες από τις οποίες έχουν αναληφθεί από την ΕΕ, οι οποίες καταδεικνύουν τη δύναμη της αίσθησης που υπάρχει μεταξύτων Ευρωπαίων πολιτών απέναντι στο προτεινόμενο εργαλείο. Είμαστε ιδιαίτερα πρόθυμοι να δημιουργήσουμε μια ανοικτή και διαφανή γραμμή επικοινωνίας μαζί σας για να διασφαλίσουμε έναν ουσιαστικό και εποικοδομητικό διάλογο.</w:t>
      </w: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br/>
      </w:r>
      <w:r>
        <w:rPr>
          <w:rFonts w:ascii="Arial" w:hAnsi="Arial" w:cs="Arial" w:eastAsia="Arial"/>
          <w:color w:val="auto"/>
          <w:spacing w:val="0"/>
          <w:position w:val="0"/>
          <w:sz w:val="28"/>
          <w:shd w:fill="auto" w:val="clear"/>
        </w:rPr>
        <w:t xml:space="preserve">Η </w:t>
      </w:r>
      <w:r>
        <w:rPr>
          <w:rFonts w:ascii="Arial" w:hAnsi="Arial" w:cs="Arial" w:eastAsia="Arial"/>
          <w:b/>
          <w:color w:val="auto"/>
          <w:spacing w:val="0"/>
          <w:position w:val="0"/>
          <w:sz w:val="28"/>
          <w:shd w:fill="auto" w:val="clear"/>
        </w:rPr>
        <w:t xml:space="preserve">πρώτη μας συμβολή τονίζει τις κρίσιμες πτυχές του  PCR τεστ</w:t>
      </w:r>
      <w:r>
        <w:rPr>
          <w:rFonts w:ascii="Arial" w:hAnsi="Arial" w:cs="Arial" w:eastAsia="Arial"/>
          <w:color w:val="auto"/>
          <w:spacing w:val="0"/>
          <w:position w:val="0"/>
          <w:sz w:val="28"/>
          <w:shd w:fill="auto" w:val="clear"/>
        </w:rPr>
        <w:t xml:space="preserve">. Ενώ το τεστ αποτελεί έναν από τους πυλώνες του Πράσινου Ψηφιακού Πιστοποιητικού, παρέχουμε τα επιστημονικά στοιχεία για τις σημαντικές ελλείψεις του στη διάγνωση της μόλυνσης Covid-19. Πραγματοποιημένο στο πνεύμα του ελεύθερου διαλόγου και με σεβασμό στον συννομοθετικό ρόλο του Κοινοβουλίου υποβάλλουμε στην προσοχή σας την ανάλυση της αποτελεσματικότητας των PCR τεστ. </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Παρακάτω παραθέτουμε μια περιγραφή των βασικών ζητημάτων σχετικά  με τις τρέχουσες εξετάσεις PCR που μας απασχολούν.</w:t>
        <w:br/>
      </w:r>
    </w:p>
    <w:p>
      <w:pPr>
        <w:numPr>
          <w:ilvl w:val="0"/>
          <w:numId w:val="3"/>
        </w:numPr>
        <w:spacing w:before="0" w:after="0" w:line="240"/>
        <w:ind w:right="0" w:left="720" w:hanging="36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Το τεστ PCR ανιχνεύει συγκεκριμένα τμήματα γενετικού υλικού που υπάρχουν στον SARS-CoV-2. Ωστόσο, </w:t>
      </w:r>
      <w:r>
        <w:rPr>
          <w:rFonts w:ascii="Arial" w:hAnsi="Arial" w:cs="Arial" w:eastAsia="Arial"/>
          <w:b/>
          <w:color w:val="auto"/>
          <w:spacing w:val="0"/>
          <w:position w:val="0"/>
          <w:sz w:val="28"/>
          <w:shd w:fill="auto" w:val="clear"/>
        </w:rPr>
        <w:t xml:space="preserve">το PCR τεστ δεν μπορεί να διακρίνει μεταξύ ζωντανών και νεκρών ιών</w:t>
      </w:r>
      <w:r>
        <w:rPr>
          <w:rFonts w:ascii="Arial" w:hAnsi="Arial" w:cs="Arial" w:eastAsia="Arial"/>
          <w:color w:val="auto"/>
          <w:spacing w:val="0"/>
          <w:position w:val="0"/>
          <w:sz w:val="28"/>
          <w:shd w:fill="auto" w:val="clear"/>
        </w:rPr>
        <w:t xml:space="preserve">. Ως εκ τούτου, ένα θετικό τεστ PCR δεν παρέχει καμία πληροφορία σχετικά με τη μολυσματικότητα ενός ατόμου. Δεν αποδεικνύει ότι το άτομο είναι ενεργά μολυσμένο ή άρρωστο ή ότι μπορεί να μολύνει άλλους (</w:t>
      </w:r>
      <w:hyperlink xmlns:r="http://schemas.openxmlformats.org/officeDocument/2006/relationships" r:id="docRId0">
        <w:r>
          <w:rPr>
            <w:rFonts w:ascii="Arial" w:hAnsi="Arial" w:cs="Arial" w:eastAsia="Arial"/>
            <w:color w:val="1155CC"/>
            <w:spacing w:val="0"/>
            <w:position w:val="0"/>
            <w:sz w:val="28"/>
            <w:u w:val="single"/>
            <w:shd w:fill="FFFFFF" w:val="clear"/>
          </w:rPr>
          <w:t xml:space="preserve">Jefferson et al, 2020</w:t>
        </w:r>
      </w:hyperlink>
      <w:r>
        <w:rPr>
          <w:rFonts w:ascii="Arial" w:hAnsi="Arial" w:cs="Arial" w:eastAsia="Arial"/>
          <w:color w:val="auto"/>
          <w:spacing w:val="0"/>
          <w:position w:val="0"/>
          <w:sz w:val="28"/>
          <w:shd w:fill="auto" w:val="clear"/>
        </w:rPr>
        <w:t xml:space="preserve">).</w:t>
      </w:r>
    </w:p>
    <w:p>
      <w:pPr>
        <w:numPr>
          <w:ilvl w:val="0"/>
          <w:numId w:val="3"/>
        </w:numPr>
        <w:spacing w:before="0" w:after="0" w:line="240"/>
        <w:ind w:right="0" w:left="720" w:hanging="36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Τα άτομα που έχουν μολυνθεί από τον SARS-CoV-2 μπορεί να είναι μολυσματικά για ένα σύντομο χρονικό διάστημα πριν από την εμφάνιση των συμπτωμάτων του COVID-19 και για περίπου οκτώ ημέρες μετά την εμφάνιση των συμπτωμάτων. Λόγω της ευαισθησίας των PCR τεστ, </w:t>
      </w:r>
      <w:r>
        <w:rPr>
          <w:rFonts w:ascii="Arial" w:hAnsi="Arial" w:cs="Arial" w:eastAsia="Arial"/>
          <w:b/>
          <w:color w:val="auto"/>
          <w:spacing w:val="0"/>
          <w:position w:val="0"/>
          <w:sz w:val="28"/>
          <w:shd w:fill="auto" w:val="clear"/>
        </w:rPr>
        <w:t xml:space="preserve">ανενεργά ιικά θραύσματα μπορούν να ανιχνευθούν </w:t>
      </w:r>
      <w:r>
        <w:rPr>
          <w:rFonts w:ascii="Arial" w:hAnsi="Arial" w:cs="Arial" w:eastAsia="Arial"/>
          <w:color w:val="auto"/>
          <w:spacing w:val="0"/>
          <w:position w:val="0"/>
          <w:sz w:val="28"/>
          <w:shd w:fill="auto" w:val="clear"/>
        </w:rPr>
        <w:t xml:space="preserve">σε ρινικά επιχρίσματα μέχρι και </w:t>
      </w:r>
      <w:r>
        <w:rPr>
          <w:rFonts w:ascii="Arial" w:hAnsi="Arial" w:cs="Arial" w:eastAsia="Arial"/>
          <w:b/>
          <w:color w:val="auto"/>
          <w:spacing w:val="0"/>
          <w:position w:val="0"/>
          <w:sz w:val="28"/>
          <w:shd w:fill="auto" w:val="clear"/>
        </w:rPr>
        <w:t xml:space="preserve">μετά από 83 ημέρες από την έναρξη της νόσου</w:t>
      </w:r>
      <w:r>
        <w:rPr>
          <w:rFonts w:ascii="Arial" w:hAnsi="Arial" w:cs="Arial" w:eastAsia="Arial"/>
          <w:color w:val="auto"/>
          <w:spacing w:val="0"/>
          <w:position w:val="0"/>
          <w:sz w:val="28"/>
          <w:shd w:fill="auto" w:val="clear"/>
        </w:rPr>
        <w:t xml:space="preserve"> (</w:t>
      </w:r>
      <w:hyperlink xmlns:r="http://schemas.openxmlformats.org/officeDocument/2006/relationships" r:id="docRId1">
        <w:r>
          <w:rPr>
            <w:rFonts w:ascii="Arial" w:hAnsi="Arial" w:cs="Arial" w:eastAsia="Arial"/>
            <w:color w:val="1155CC"/>
            <w:spacing w:val="0"/>
            <w:position w:val="0"/>
            <w:sz w:val="28"/>
            <w:u w:val="single"/>
            <w:shd w:fill="FFFFFF" w:val="clear"/>
          </w:rPr>
          <w:t xml:space="preserve">Jefferson et al, 2020</w:t>
        </w:r>
      </w:hyperlink>
      <w:r>
        <w:rPr>
          <w:rFonts w:ascii="Arial" w:hAnsi="Arial" w:cs="Arial" w:eastAsia="Arial"/>
          <w:color w:val="auto"/>
          <w:spacing w:val="0"/>
          <w:position w:val="0"/>
          <w:sz w:val="28"/>
          <w:shd w:fill="auto" w:val="clear"/>
        </w:rPr>
        <w:t xml:space="preserve">). </w:t>
      </w:r>
    </w:p>
    <w:p>
      <w:pPr>
        <w:numPr>
          <w:ilvl w:val="0"/>
          <w:numId w:val="3"/>
        </w:numPr>
        <w:spacing w:before="0" w:after="0" w:line="240"/>
        <w:ind w:right="0" w:left="720" w:hanging="36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Είναι </w:t>
      </w:r>
      <w:r>
        <w:rPr>
          <w:rFonts w:ascii="Arial" w:hAnsi="Arial" w:cs="Arial" w:eastAsia="Arial"/>
          <w:b/>
          <w:color w:val="auto"/>
          <w:spacing w:val="0"/>
          <w:position w:val="0"/>
          <w:sz w:val="28"/>
          <w:shd w:fill="auto" w:val="clear"/>
        </w:rPr>
        <w:t xml:space="preserve">δυνατόν ένα άτομο να βρεθεί θετικό στον SARS-CoV-2 ενώ δεν έχει τον ιό</w:t>
      </w:r>
      <w:r>
        <w:rPr>
          <w:rFonts w:ascii="Arial" w:hAnsi="Arial" w:cs="Arial" w:eastAsia="Arial"/>
          <w:color w:val="auto"/>
          <w:spacing w:val="0"/>
          <w:position w:val="0"/>
          <w:sz w:val="28"/>
          <w:shd w:fill="auto" w:val="clear"/>
        </w:rPr>
        <w:t xml:space="preserve">, λόγω σφαλμάτων του πρωτόκολλου του PCR τεστ. Ψευδώς θετικά αποτελέσματα μπορεί επίσης να προκύψουν από επιμόλυνση κατά τη λήψη του δείγματος, κατά τη διαχείριση του στο εργαστήριο, κατά την εξέταση ασυμπτωματικών ατόμων και λόγω σφαλμάτων του εξοπλισμού (</w:t>
      </w:r>
      <w:hyperlink xmlns:r="http://schemas.openxmlformats.org/officeDocument/2006/relationships" r:id="docRId2">
        <w:r>
          <w:rPr>
            <w:rFonts w:ascii="Arial" w:hAnsi="Arial" w:cs="Arial" w:eastAsia="Arial"/>
            <w:color w:val="1155CC"/>
            <w:spacing w:val="0"/>
            <w:position w:val="0"/>
            <w:sz w:val="28"/>
            <w:u w:val="single"/>
            <w:shd w:fill="auto" w:val="clear"/>
          </w:rPr>
          <w:t xml:space="preserve">Craig</w:t>
        </w:r>
      </w:hyperlink>
      <w:r>
        <w:rPr>
          <w:rFonts w:ascii="Arial" w:hAnsi="Arial" w:cs="Arial" w:eastAsia="Arial"/>
          <w:color w:val="auto"/>
          <w:spacing w:val="0"/>
          <w:position w:val="0"/>
          <w:sz w:val="28"/>
          <w:shd w:fill="auto" w:val="clear"/>
        </w:rPr>
        <w:t xml:space="preserve">2021).</w:t>
      </w:r>
    </w:p>
    <w:p>
      <w:pPr>
        <w:numPr>
          <w:ilvl w:val="0"/>
          <w:numId w:val="3"/>
        </w:numPr>
        <w:spacing w:before="0" w:after="0" w:line="240"/>
        <w:ind w:right="0" w:left="720" w:hanging="36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Τα primer(βραχείς γενετικές αλληλουχίες) που χρησιμοποιούνται στα PCR τεστ ενδέχεται να μην ανιχνεύουν με ακρίβεια τον SARS-CoV-2, ιδίως όταν χρησιμοποιείται μόνο ένα primer</w:t>
      </w:r>
      <w:r>
        <w:rPr>
          <w:rFonts w:ascii="Arial" w:hAnsi="Arial" w:cs="Arial" w:eastAsia="Arial"/>
          <w:color w:val="212427"/>
          <w:spacing w:val="0"/>
          <w:position w:val="0"/>
          <w:sz w:val="28"/>
          <w:shd w:fill="FFFFFF" w:val="clear"/>
        </w:rPr>
        <w:t xml:space="preserve">(</w:t>
      </w:r>
      <w:hyperlink xmlns:r="http://schemas.openxmlformats.org/officeDocument/2006/relationships" r:id="docRId3">
        <w:r>
          <w:rPr>
            <w:rFonts w:ascii="Arial" w:hAnsi="Arial" w:cs="Arial" w:eastAsia="Arial"/>
            <w:color w:val="1155CC"/>
            <w:spacing w:val="0"/>
            <w:position w:val="0"/>
            <w:sz w:val="28"/>
            <w:u w:val="single"/>
            <w:shd w:fill="FFFFFF" w:val="clear"/>
          </w:rPr>
          <w:t xml:space="preserve">Borger et al, 2020</w:t>
        </w:r>
      </w:hyperlink>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Το </w:t>
      </w:r>
      <w:r>
        <w:rPr>
          <w:rFonts w:ascii="Arial" w:hAnsi="Arial" w:cs="Arial" w:eastAsia="Arial"/>
          <w:b/>
          <w:color w:val="auto"/>
          <w:spacing w:val="0"/>
          <w:position w:val="0"/>
          <w:sz w:val="28"/>
          <w:shd w:fill="auto" w:val="clear"/>
        </w:rPr>
        <w:t xml:space="preserve">PCR τεστ θα μπορούσε να συγχέει γενετικό υλικό από το ανθρώπινο γονιδίωμα ή από άλλους κορονοϊούς </w:t>
      </w:r>
      <w:r>
        <w:rPr>
          <w:rFonts w:ascii="Arial" w:hAnsi="Arial" w:cs="Arial" w:eastAsia="Arial"/>
          <w:color w:val="auto"/>
          <w:spacing w:val="0"/>
          <w:position w:val="0"/>
          <w:sz w:val="28"/>
          <w:shd w:fill="auto" w:val="clear"/>
        </w:rPr>
        <w:t xml:space="preserve">με τον SARS-CoV-2 (</w:t>
      </w:r>
      <w:hyperlink xmlns:r="http://schemas.openxmlformats.org/officeDocument/2006/relationships" r:id="docRId4">
        <w:r>
          <w:rPr>
            <w:rFonts w:ascii="Arial" w:hAnsi="Arial" w:cs="Arial" w:eastAsia="Arial"/>
            <w:color w:val="1155CC"/>
            <w:spacing w:val="0"/>
            <w:position w:val="0"/>
            <w:sz w:val="28"/>
            <w:u w:val="single"/>
            <w:shd w:fill="FFFFFF" w:val="clear"/>
          </w:rPr>
          <w:t xml:space="preserve">Craig</w:t>
        </w:r>
      </w:hyperlink>
      <w:r>
        <w:rPr>
          <w:rFonts w:ascii="Arial" w:hAnsi="Arial" w:cs="Arial" w:eastAsia="Arial"/>
          <w:color w:val="auto"/>
          <w:spacing w:val="0"/>
          <w:position w:val="0"/>
          <w:sz w:val="28"/>
          <w:shd w:fill="auto" w:val="clear"/>
        </w:rPr>
        <w:t xml:space="preserve">, 2021). </w:t>
      </w:r>
    </w:p>
    <w:p>
      <w:pPr>
        <w:numPr>
          <w:ilvl w:val="0"/>
          <w:numId w:val="3"/>
        </w:numPr>
        <w:spacing w:before="0" w:after="0" w:line="240"/>
        <w:ind w:right="0" w:left="720" w:hanging="36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Το "</w:t>
      </w:r>
      <w:r>
        <w:rPr>
          <w:rFonts w:ascii="Arial" w:hAnsi="Arial" w:cs="Arial" w:eastAsia="Arial"/>
          <w:b/>
          <w:color w:val="auto"/>
          <w:spacing w:val="0"/>
          <w:position w:val="0"/>
          <w:sz w:val="28"/>
          <w:shd w:fill="auto" w:val="clear"/>
        </w:rPr>
        <w:t xml:space="preserve">κατώφλι κύκλων</w:t>
      </w:r>
      <w:r>
        <w:rPr>
          <w:rFonts w:ascii="Arial" w:hAnsi="Arial" w:cs="Arial" w:eastAsia="Arial"/>
          <w:color w:val="auto"/>
          <w:spacing w:val="0"/>
          <w:position w:val="0"/>
          <w:sz w:val="28"/>
          <w:shd w:fill="auto" w:val="clear"/>
        </w:rPr>
        <w:t xml:space="preserve">" - ο αριθμός των φορών που ενισχύεται το γενετικό υλικό - </w:t>
      </w:r>
      <w:r>
        <w:rPr>
          <w:rFonts w:ascii="Arial" w:hAnsi="Arial" w:cs="Arial" w:eastAsia="Arial"/>
          <w:b/>
          <w:color w:val="auto"/>
          <w:spacing w:val="0"/>
          <w:position w:val="0"/>
          <w:sz w:val="28"/>
          <w:shd w:fill="auto" w:val="clear"/>
        </w:rPr>
        <w:t xml:space="preserve">είναι σημαντικός κατά την ερμηνεία των αποτελεσμάτων του PCR τεστ</w:t>
      </w:r>
      <w:r>
        <w:rPr>
          <w:rFonts w:ascii="Arial" w:hAnsi="Arial" w:cs="Arial" w:eastAsia="Arial"/>
          <w:color w:val="auto"/>
          <w:spacing w:val="0"/>
          <w:position w:val="0"/>
          <w:sz w:val="28"/>
          <w:shd w:fill="auto" w:val="clear"/>
        </w:rPr>
        <w:t xml:space="preserve">. Αν το κατώφλι κύκλου (Ct) είναι χαμηλό (π.χ. κάτω από 25), αυτό υποδηλώνει ότι υπάρχει πολύ γενετικό υλικό του ιού και, επομένως, είναι πιθανότερο ο ιός να είναι ενεργός. Αν η τιμή Ct είναι υψηλή (π.χ. πάνω από 30), είναι πιθανότερο ότι η λοίμωξη δεν είναι πλέον ενεργή (</w:t>
      </w:r>
      <w:hyperlink xmlns:r="http://schemas.openxmlformats.org/officeDocument/2006/relationships" r:id="docRId5">
        <w:r>
          <w:rPr>
            <w:rFonts w:ascii="Arial" w:hAnsi="Arial" w:cs="Arial" w:eastAsia="Arial"/>
            <w:color w:val="1155CC"/>
            <w:spacing w:val="0"/>
            <w:position w:val="0"/>
            <w:sz w:val="28"/>
            <w:u w:val="single"/>
            <w:shd w:fill="FFFFFF" w:val="clear"/>
          </w:rPr>
          <w:t xml:space="preserve">Jefferson et al, 2020</w:t>
        </w:r>
      </w:hyperlink>
      <w:r>
        <w:rPr>
          <w:rFonts w:ascii="Arial" w:hAnsi="Arial" w:cs="Arial" w:eastAsia="Arial"/>
          <w:color w:val="auto"/>
          <w:spacing w:val="0"/>
          <w:position w:val="0"/>
          <w:sz w:val="28"/>
          <w:shd w:fill="auto" w:val="clear"/>
        </w:rPr>
        <w:t xml:space="preserve">)</w:t>
      </w: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br/>
      </w:r>
      <w:r>
        <w:rPr>
          <w:rFonts w:ascii="Arial" w:hAnsi="Arial" w:cs="Arial" w:eastAsia="Arial"/>
          <w:color w:val="auto"/>
          <w:spacing w:val="0"/>
          <w:position w:val="0"/>
          <w:sz w:val="28"/>
          <w:shd w:fill="auto" w:val="clear"/>
        </w:rPr>
        <w:t xml:space="preserve">Αν δεν υπάρχει ενεργός ιός, ένα άτομο δεν είναι μολυσματικό.</w:t>
        <w:br/>
        <w:t xml:space="preserve"> </w:t>
        <w:br/>
        <w:t xml:space="preserve">Το Νοέμβριο του 2020, μια ομάδα επιστημόνων διεξήγαγε επανεξέταση της εργασίας των Corman-Drosten (</w:t>
      </w:r>
      <w:hyperlink xmlns:r="http://schemas.openxmlformats.org/officeDocument/2006/relationships" r:id="docRId6">
        <w:r>
          <w:rPr>
            <w:rFonts w:ascii="Arial" w:hAnsi="Arial" w:cs="Arial" w:eastAsia="Arial"/>
            <w:color w:val="1155CC"/>
            <w:spacing w:val="0"/>
            <w:position w:val="0"/>
            <w:sz w:val="28"/>
            <w:u w:val="single"/>
            <w:shd w:fill="FFFFFF" w:val="clear"/>
          </w:rPr>
          <w:t xml:space="preserve">Corman et al.</w:t>
        </w:r>
      </w:hyperlink>
      <w:r>
        <w:rPr>
          <w:rFonts w:ascii="Arial" w:hAnsi="Arial" w:cs="Arial" w:eastAsia="Arial"/>
          <w:color w:val="auto"/>
          <w:spacing w:val="0"/>
          <w:position w:val="0"/>
          <w:sz w:val="28"/>
          <w:shd w:fill="auto" w:val="clear"/>
        </w:rPr>
        <w:t xml:space="preserve">, January 2020)  </w:t>
      </w:r>
      <w:r>
        <w:rPr>
          <w:rFonts w:ascii="Arial" w:hAnsi="Arial" w:cs="Arial" w:eastAsia="Arial"/>
          <w:color w:val="auto"/>
          <w:spacing w:val="0"/>
          <w:position w:val="0"/>
          <w:sz w:val="28"/>
          <w:shd w:fill="auto" w:val="clear"/>
        </w:rPr>
        <w:t xml:space="preserve">η οποία καθόρισε το πρότυπο παγκόσμια για την εξέταση PCR για τον SARS-CoV-2, προωθήθηκε από τον ΠΟΥ και έχει υιοθετηθεί ευρέως σε πολλές χώρες. Οι επιστήμονες που διεξήγαγαν την επανεξέταση κατέληξαν στο συμπέρασμα ότι η εργασία των Corman-Drosten έχει σοβαρές ελλείψεις όσον αφορά τον βιομοριακό και μεθοδολογικό σχεδιασμό του"(</w:t>
      </w:r>
      <w:hyperlink xmlns:r="http://schemas.openxmlformats.org/officeDocument/2006/relationships" r:id="docRId7">
        <w:r>
          <w:rPr>
            <w:rFonts w:ascii="Arial" w:hAnsi="Arial" w:cs="Arial" w:eastAsia="Arial"/>
            <w:color w:val="1155CC"/>
            <w:spacing w:val="0"/>
            <w:position w:val="0"/>
            <w:sz w:val="28"/>
            <w:u w:val="single"/>
            <w:shd w:fill="FFFFFF" w:val="clear"/>
          </w:rPr>
          <w:t xml:space="preserve">Borger et al</w:t>
        </w:r>
      </w:hyperlink>
      <w:r>
        <w:rPr>
          <w:rFonts w:ascii="Arial" w:hAnsi="Arial" w:cs="Arial" w:eastAsia="Arial"/>
          <w:color w:val="auto"/>
          <w:spacing w:val="0"/>
          <w:position w:val="0"/>
          <w:sz w:val="28"/>
          <w:shd w:fill="auto" w:val="clear"/>
        </w:rPr>
        <w:t xml:space="preserve">., 2020). </w:t>
      </w:r>
      <w:r>
        <w:rPr>
          <w:rFonts w:ascii="Arial" w:hAnsi="Arial" w:cs="Arial" w:eastAsia="Arial"/>
          <w:color w:val="auto"/>
          <w:spacing w:val="0"/>
          <w:position w:val="0"/>
          <w:sz w:val="28"/>
          <w:shd w:fill="auto" w:val="clear"/>
        </w:rPr>
        <w:t xml:space="preserve">Οι ανησυχίες που διατυπώθηκαν σε αυτή την ανασκόπηση δεν έχουν ακόμη αξιολογηθεί κατάλληλα από τους συγγραφείς. Τον Ιανουάριο του 2021, ο ΠΟΥ εξέδωσε τεχνικές οδηγίες για τα PCR τεστ, οι οποίες περιγράφουν τους περιορισμούς των PCR τεστ και τον κίνδυνο ψευδώς θετικών αποτελεσμάτων (</w:t>
      </w:r>
      <w:hyperlink xmlns:r="http://schemas.openxmlformats.org/officeDocument/2006/relationships" r:id="docRId8">
        <w:r>
          <w:rPr>
            <w:rFonts w:ascii="Arial" w:hAnsi="Arial" w:cs="Arial" w:eastAsia="Arial"/>
            <w:color w:val="1155CC"/>
            <w:spacing w:val="0"/>
            <w:position w:val="0"/>
            <w:sz w:val="28"/>
            <w:u w:val="single"/>
            <w:shd w:fill="FFFFFF" w:val="clear"/>
          </w:rPr>
          <w:t xml:space="preserve">WHO,</w:t>
        </w:r>
      </w:hyperlink>
      <w:r>
        <w:rPr>
          <w:rFonts w:ascii="Arial" w:hAnsi="Arial" w:cs="Arial" w:eastAsia="Arial"/>
          <w:color w:val="auto"/>
          <w:spacing w:val="0"/>
          <w:position w:val="0"/>
          <w:sz w:val="28"/>
          <w:shd w:fill="auto" w:val="clear"/>
        </w:rPr>
        <w:t xml:space="preserve"> 2021). </w:t>
        <w:br/>
        <w:t xml:space="preserve"> </w:t>
        <w:br/>
      </w:r>
      <w:r>
        <w:rPr>
          <w:rFonts w:ascii="Arial" w:hAnsi="Arial" w:cs="Arial" w:eastAsia="Arial"/>
          <w:b/>
          <w:color w:val="auto"/>
          <w:spacing w:val="0"/>
          <w:position w:val="0"/>
          <w:sz w:val="28"/>
          <w:shd w:fill="auto" w:val="clear"/>
        </w:rPr>
        <w:t xml:space="preserve">Υπό το πρίσμα των ανωτέρω σκέψεων, η εγκυρότητα και η χρησιμότητα των σημερινών συστυμάτων εξέτασης  PCR, ιδίως εξέταση ασυμπτωματικών ατόμων, πρέπει να τεθεί υπό αμφισβήτηση. Τα επιστημονικά στοιχεία δείχνουν σαφώς ότι η εξέταση PCR δεν μπορεί να παρέχει αξιόπιστα αποτελέσματα σχετικά με τη μόλυνση Covid-19. Ως εκ τούτου, η θεμελιώδης αποδοχή αξιοπιστίας της εξέτασης PCR για τη διάγνωση του Covid-19, στην οποία θα βασίζεται το Πράσινο Ψηφιακό Πιστοποιητικό, είναι εσφαλμένη και ενδέχεται να οδηγήσει σε άδικη μεταχείριση και διακρίσεις του φορέα, ο οποίος θα δει τη θεμελιώδη ελευθερία μετακίνησής του να καταστρατηγείται με γνώμονα μια αμφίβολη επιστημονική βάση.</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b/>
          <w:color w:val="auto"/>
          <w:spacing w:val="0"/>
          <w:position w:val="0"/>
          <w:sz w:val="28"/>
          <w:shd w:fill="auto" w:val="clear"/>
        </w:rPr>
      </w:pPr>
      <w:r>
        <w:rPr>
          <w:rFonts w:ascii="Arial" w:hAnsi="Arial" w:cs="Arial" w:eastAsia="Arial"/>
          <w:color w:val="auto"/>
          <w:spacing w:val="0"/>
          <w:position w:val="0"/>
          <w:sz w:val="28"/>
          <w:shd w:fill="auto" w:val="clear"/>
        </w:rPr>
        <w:br/>
      </w:r>
      <w:r>
        <w:rPr>
          <w:rFonts w:ascii="Arial" w:hAnsi="Arial" w:cs="Arial" w:eastAsia="Arial"/>
          <w:b/>
          <w:color w:val="auto"/>
          <w:spacing w:val="0"/>
          <w:position w:val="0"/>
          <w:sz w:val="28"/>
          <w:shd w:fill="auto" w:val="clear"/>
        </w:rPr>
        <w:br/>
      </w:r>
    </w:p>
    <w:p>
      <w:pPr>
        <w:spacing w:before="0" w:after="200" w:line="276"/>
        <w:ind w:right="0" w:left="0" w:firstLine="0"/>
        <w:jc w:val="both"/>
        <w:rPr>
          <w:rFonts w:ascii="Arial" w:hAnsi="Arial" w:cs="Arial" w:eastAsia="Arial"/>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cormandrostenreview.com/report/" Id="docRId3" Type="http://schemas.openxmlformats.org/officeDocument/2006/relationships/hyperlink" /><Relationship TargetMode="External" Target="https://cormandrostenreview.com/report/" Id="docRId7" Type="http://schemas.openxmlformats.org/officeDocument/2006/relationships/hyperlink" /><Relationship TargetMode="External" Target="https://www.medrxiv.org/content/10.1101/2020.08.04.20167932v4" Id="docRId0" Type="http://schemas.openxmlformats.org/officeDocument/2006/relationships/hyperlink" /><Relationship Target="styles.xml" Id="docRId10" Type="http://schemas.openxmlformats.org/officeDocument/2006/relationships/styles" /><Relationship TargetMode="External" Target="https://www.pandata.org/a-miscarriage-of-diagnosis/" Id="docRId2" Type="http://schemas.openxmlformats.org/officeDocument/2006/relationships/hyperlink" /><Relationship TargetMode="External" Target="https://www.pandata.org/a-miscarriage-of-diagnosis/" Id="docRId4" Type="http://schemas.openxmlformats.org/officeDocument/2006/relationships/hyperlink" /><Relationship TargetMode="External" Target="https://www.eurosurveillance.org/content/10.2807/1560-7917.ES.2020.25.3.2000045" Id="docRId6" Type="http://schemas.openxmlformats.org/officeDocument/2006/relationships/hyperlink" /><Relationship TargetMode="External" Target="https://www.who.int/news/item/20-01-2021-who-information-notice-for-ivd-users-2020-05" Id="docRId8" Type="http://schemas.openxmlformats.org/officeDocument/2006/relationships/hyperlink" /><Relationship TargetMode="External" Target="https://www.medrxiv.org/content/10.1101/2020.08.04.20167932v4" Id="docRId1" Type="http://schemas.openxmlformats.org/officeDocument/2006/relationships/hyperlink" /><Relationship TargetMode="External" Target="https://www.medrxiv.org/content/10.1101/2020.08.04.20167932v4" Id="docRId5" Type="http://schemas.openxmlformats.org/officeDocument/2006/relationships/hyperlink" /><Relationship Target="numbering.xml" Id="docRId9" Type="http://schemas.openxmlformats.org/officeDocument/2006/relationships/numbering" /></Relationships>
</file>